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51" w:rsidRDefault="00CB1F51">
      <w:pPr>
        <w:widowControl w:val="0"/>
        <w:autoSpaceDE w:val="0"/>
        <w:autoSpaceDN w:val="0"/>
        <w:adjustRightInd w:val="0"/>
        <w:ind w:firstLine="540"/>
        <w:jc w:val="both"/>
      </w:pPr>
    </w:p>
    <w:p w:rsidR="00CB1F51" w:rsidRDefault="00CB1F51">
      <w:pPr>
        <w:pStyle w:val="ConsPlusNonformat"/>
      </w:pPr>
      <w:bookmarkStart w:id="0" w:name="Par28"/>
      <w:bookmarkEnd w:id="0"/>
      <w:r>
        <w:t xml:space="preserve">                                                  УТВЕРЖДЕНО</w:t>
      </w:r>
    </w:p>
    <w:p w:rsidR="00CB1F51" w:rsidRDefault="00CB1F51">
      <w:pPr>
        <w:pStyle w:val="ConsPlusNonformat"/>
      </w:pPr>
      <w:r>
        <w:t xml:space="preserve">                                                  Постановление</w:t>
      </w:r>
    </w:p>
    <w:p w:rsidR="00CB1F51" w:rsidRDefault="00CB1F51">
      <w:pPr>
        <w:pStyle w:val="ConsPlusNonformat"/>
      </w:pPr>
      <w:r>
        <w:t xml:space="preserve">                                                  Совета Министров</w:t>
      </w:r>
    </w:p>
    <w:p w:rsidR="00CB1F51" w:rsidRDefault="00CB1F51">
      <w:pPr>
        <w:pStyle w:val="ConsPlusNonformat"/>
      </w:pPr>
      <w:r>
        <w:t xml:space="preserve">                                                  Республики Беларусь</w:t>
      </w:r>
    </w:p>
    <w:p w:rsidR="00CB1F51" w:rsidRDefault="00CB1F51">
      <w:pPr>
        <w:pStyle w:val="ConsPlusNonformat"/>
      </w:pPr>
      <w:r>
        <w:t xml:space="preserve">                                                  29.12.2006 N 1750</w:t>
      </w:r>
    </w:p>
    <w:p w:rsidR="00CB1F51" w:rsidRDefault="00CB1F51">
      <w:pPr>
        <w:pStyle w:val="ConsPlusNonformat"/>
      </w:pPr>
      <w:r>
        <w:t xml:space="preserve">                                                  (в редакции постановления</w:t>
      </w:r>
    </w:p>
    <w:p w:rsidR="00CB1F51" w:rsidRDefault="00CB1F51">
      <w:pPr>
        <w:pStyle w:val="ConsPlusNonformat"/>
      </w:pPr>
      <w:r>
        <w:t xml:space="preserve">                                                  Совета Министров</w:t>
      </w:r>
    </w:p>
    <w:p w:rsidR="00CB1F51" w:rsidRDefault="00CB1F51">
      <w:pPr>
        <w:pStyle w:val="ConsPlusNonformat"/>
      </w:pPr>
      <w:r>
        <w:t xml:space="preserve">                                                  Республики Беларусь</w:t>
      </w:r>
    </w:p>
    <w:p w:rsidR="00CB1F51" w:rsidRDefault="00CB1F51">
      <w:pPr>
        <w:pStyle w:val="ConsPlusNonformat"/>
      </w:pPr>
      <w:r>
        <w:t xml:space="preserve">                                                  05.07.2013 N 587)</w:t>
      </w:r>
    </w:p>
    <w:p w:rsidR="00CB1F51" w:rsidRDefault="00CB1F51">
      <w:pPr>
        <w:widowControl w:val="0"/>
        <w:autoSpaceDE w:val="0"/>
        <w:autoSpaceDN w:val="0"/>
        <w:adjustRightInd w:val="0"/>
        <w:ind w:firstLine="540"/>
        <w:jc w:val="both"/>
      </w:pPr>
    </w:p>
    <w:p w:rsidR="00CB1F51" w:rsidRDefault="00CB1F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ПОЛОЖЕНИЕ</w:t>
      </w:r>
    </w:p>
    <w:p w:rsidR="00CB1F51" w:rsidRDefault="00CB1F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ОСУЩЕСТВЛЕНИЯ ИНВЕСТИЦИЙ И РАЗМЕЩЕНИЯ СРЕДСТВ СТРАХОВЫХ РЕЗЕРВОВ СТРАХОВЫМИ ОРГАНИЗАЦИЯМИ</w:t>
      </w:r>
    </w:p>
    <w:p w:rsidR="00CB1F51" w:rsidRDefault="00CB1F51">
      <w:pPr>
        <w:widowControl w:val="0"/>
        <w:autoSpaceDE w:val="0"/>
        <w:autoSpaceDN w:val="0"/>
        <w:adjustRightInd w:val="0"/>
        <w:jc w:val="center"/>
      </w:pPr>
    </w:p>
    <w:p w:rsidR="00CB1F51" w:rsidRDefault="00CB1F51">
      <w:pPr>
        <w:widowControl w:val="0"/>
        <w:autoSpaceDE w:val="0"/>
        <w:autoSpaceDN w:val="0"/>
        <w:adjustRightInd w:val="0"/>
        <w:jc w:val="center"/>
      </w:pPr>
      <w:r>
        <w:t>(в ред. постановлений Совмина от 05.07.2013</w:t>
      </w:r>
      <w:r w:rsidR="00E107FC">
        <w:t xml:space="preserve"> № 587</w:t>
      </w:r>
      <w:r>
        <w:t>,</w:t>
      </w:r>
    </w:p>
    <w:p w:rsidR="00CB1F51" w:rsidRDefault="00CB1F51">
      <w:pPr>
        <w:widowControl w:val="0"/>
        <w:autoSpaceDE w:val="0"/>
        <w:autoSpaceDN w:val="0"/>
        <w:adjustRightInd w:val="0"/>
        <w:jc w:val="center"/>
      </w:pPr>
      <w:r>
        <w:t>от 29.08.2014</w:t>
      </w:r>
      <w:r w:rsidR="00E107FC">
        <w:t xml:space="preserve"> № 854</w:t>
      </w:r>
      <w:r>
        <w:t>)</w:t>
      </w:r>
    </w:p>
    <w:p w:rsidR="00CB1F51" w:rsidRDefault="00CB1F51">
      <w:pPr>
        <w:widowControl w:val="0"/>
        <w:autoSpaceDE w:val="0"/>
        <w:autoSpaceDN w:val="0"/>
        <w:adjustRightInd w:val="0"/>
        <w:ind w:firstLine="540"/>
        <w:jc w:val="both"/>
      </w:pP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 xml:space="preserve">1. Настоящим Положением, разработанным в соответствии с частью шестой подпункта 56.2 пункта 56 Положения о страховой деятельности в Республике Беларусь, утвержденного Указом Президента Республики Беларусь от 25 августа </w:t>
      </w:r>
      <w:smartTag w:uri="urn:schemas-microsoft-com:office:smarttags" w:element="metricconverter">
        <w:smartTagPr>
          <w:attr w:name="ProductID" w:val="2006 г"/>
        </w:smartTagPr>
        <w:r w:rsidRPr="00E107FC">
          <w:t>2006 г</w:t>
        </w:r>
      </w:smartTag>
      <w:r w:rsidRPr="00E107FC">
        <w:t xml:space="preserve">. N 530 "О страховой деятельности"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 г"/>
        </w:smartTagPr>
        <w:r w:rsidRPr="00E107FC">
          <w:t>2006 г</w:t>
        </w:r>
      </w:smartTag>
      <w:r w:rsidRPr="00E107FC">
        <w:t>., N 143, 1/7866; Национальный правовой Интернет-портал Республики Беларусь, 19.04.2014, 1/14942), определяется порядок (включая условия) осуществления инвестиций посредством вложения средств страховых резервов и размещения средств страховых резервов страховыми организациями, в том числе осуществляющими деятельность по перестрахованию (далее - страховые организации).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(п. 1 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2. Для целей настоящего Положения применяются термины в значениях, установленных в Положении о страховой деятельности в Республике Беларусь, а также термины в следующих значениях: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объект инвестиций - объект, в отношении которого страховой организацией осуществляются инвестиции посредством вложения средств страховых резервов (ценные бумаги, драгоценные металлы и иное имущество в соответствии с законодательством);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резерв незаработанной премии - часть начисленной страховой премии (страховых взносов) по договору страхования (сострахования), перестрахования, относящаяся к сроку действия такого договора, выходящему за пределы отчетного периода (незаработанная премия), предназначенная для обеспечения исполнения обязательств по предстоящим выплатам, которые могут возникнуть в последующих отчетных периодах.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3. Сумма средств страховых резервов, размещенных страховой организацией на счетах в банках Республики Беларусь и вложенных в объекты инвестиций, должна соответствовать сумме страховых резервов, которая для целей настоящего Положения определяется как сумма сформированных страховых резервов, за исключением доли перестраховщиков в страховых резервах, уменьшенная по: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видам страхования, относящимся к страхованию жизни, - на сумму дебиторской задолженности страхователей по уплате страховых взносов (страховых премий) в размере, не превышающем 10 процентов от суммы сформированных страховых резервов по видам страхования, относящимся к страхованию жизни;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 xml:space="preserve">видам страхования иным, чем страхование жизни (за исключением обязательного страхования от несчастных случаев на производстве и профессиональных заболеваний; с государственной поддержкой урожая сельскохозяйственных культур, скота и птицы), - на сумму дебиторской задолженности страхователей, перестрахователей за вычетом суммы </w:t>
      </w:r>
      <w:r w:rsidRPr="00E107FC">
        <w:lastRenderedPageBreak/>
        <w:t>кредиторской задолженности перестраховщикам по уплате перестраховочной премии по рискам, переданным в перестрахование, но не более чем на 45 процентов от резерва незаработанной премии, за исключением доли перестраховщиков в резерве незаработанной премии;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обязательному страхованию от несчастных случаев на производстве и профессиональных заболеваний; с государственной поддержкой урожая сельскохозяйственных культур, скота и птицы - на сумму дебиторской задолженности по данным видам страхования.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4. В качестве обеспечения страховых резервов, размещаемых страховой организацией на счетах в банках Республики Беларусь и вкладываемых в объекты инвестиций, не могут выступать денежные средства, полученные страховой организацией в виде кредитов банков и небанковских кредитно-финансовых организаций, займов, в том числе оформленных облигациями, и иных заемных средств.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 xml:space="preserve">(в ред. </w:t>
      </w:r>
      <w:hyperlink r:id="rId4" w:history="1">
        <w:r w:rsidRPr="00E107FC">
          <w:t>постановления</w:t>
        </w:r>
      </w:hyperlink>
      <w:r w:rsidRPr="00E107FC">
        <w:t xml:space="preserve">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5. Страховые организации инвестируют и размещают средства страховых резервов на условиях возвратности, прибыльности, ликвидности и диверсификации.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6. Страховые организации - государственные юридические лица либо юридические лица, в уставных фондах которых более 50 процентов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размещают средства страховых резервов в государственных банках.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0"/>
      <w:bookmarkEnd w:id="2"/>
      <w:r w:rsidRPr="00E107FC">
        <w:t>7. Средства страховых резервов страховых организаций, кроме страховых организаций - государственных юридических лиц либо юридических лиц, в уставных фондах которых более 50 процентов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могут вкладываться в соответствии с законодательством в следующие объекты инвестиций: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государственные ценные бумаги;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ценные бумаги Национального банка;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ценные бумаги открытого акционерного общества "Банк развития Республики Беларусь" (далее - Банк развития), за исключением акций, по согласованию с Министерством финансов;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(абзац введен постановлением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ценные бумаги местных исполнительных и распорядительных органов;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ценные бумаги юридических лиц Республики Беларусь, в том числе банков (кроме акций и векселей, за исключением простых и переводных векселей банков);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недвижимое имущество, кроме жилых помещений;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драгоценные металлы, за исключением их лома и отходов, с размещением их в банках Республики Беларусь.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Средства страховых резервов страховых организаций - государственных юридических лиц либо юридических лиц, в уставных фондах которых более 50 процентов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могут вкладываться в соответствии с законодательством в следующие объекты инвестиций: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государственные ценные бумаги, ценные бумаги Национального банка, ценные бумаги местных исполнительных и распорядительных органов. При этом вложение осуществляется на основании договоров, заключенных с государственными банками, Банком развития;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lastRenderedPageBreak/>
        <w:t>ценные бумаги Банка развития и государственных банков, за исключением акций;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драгоценные металлы, за исключением их лома и отходов, с размещением их в государственных банках.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8. Страховым организациям запрещается: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вкладывать средства страховых резервов в объекты инвестиций иные, чем указанные в пункте 7 настоящего Положения;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выступать поручителем или гарантом за счет средств страховых резервов, за счет объектов инвестиций, указанных в пункте 7 настоящего Положения;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предоставлять в залог средства страховых резервов, объекты инвестиций, указанные в пункте 7 настоящего Положения;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иным способом обеспечивать исполнение обязательств, не связанных с осуществлением страховой деятельности, за счет средств страховых резервов, за счет объектов инвестиций, указанных в пункте 7 настоящего Положения.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9. Страховые организации обязаны одновременно: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иметь на счетах в банках Республики Беларусь, в том числе в банковских вкладах (депозитах), не менее 10 процентов от суммы страховых резервов;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вкладывать в государственные ценные бумаги и (или) ценные бумаги Банка развития и (или) размещать в банковские вклады (депозиты) в государственных банках: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по видам страхования, относящимся к страхованию жизни, - не менее 40 процентов от суммы страховых резервов;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по видам страхования иным, чем страхование жизни, - не менее 35 процентов от суммы страховых резервов.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При этом в одном банке Республики Беларусь страховой организацией может быть размещено не более 50 процентов от суммы средств страховых резервов, размещенных на счетах в банках Республики Беларусь.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10. При вложении средств страховых резервов в объекты инвестиций, указанные в пункте 7 настоящего Положения (за исключением государственных ценных бумаг), страховые организации обязаны соблюдать следующие соотношения: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10.1. по видам страхования, относящимся к страхованию жизни (в процентах от суммы страховых резервов):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10 процентов - в ценные бумаги Национального банка;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20 процентов - в ценные бумаги банков Республики Беларусь, кроме акций;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10 процентов - в ценные бумаги местных исполнительных и распорядительных органов;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20 процентов - в ценные бумаги юридических лиц Республики Беларусь, не являющихся банками, в том числе Банка развития, кроме акций и векселей;</w:t>
      </w:r>
    </w:p>
    <w:p w:rsidR="00CB1F51" w:rsidRPr="00E107FC" w:rsidRDefault="00CB1F51" w:rsidP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15 процентов - в недвижимое имущество, кроме жилых помещений;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10 процентов - в драгоценные металлы, за исключением их лома и отходов;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10.2. по видам страхования иным, чем страхование жизни (в процентах от суммы страховых резервов):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15 процентов - в ценные бумаги Национального банка;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25 процентов - в ценные бумаги банков Республики Беларусь, кроме акций;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15 процентов - в ценные бумаги местных исполнительных и распорядительных органов;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lastRenderedPageBreak/>
        <w:t>не более 25 процентов - в ценные бумаги юридических лиц Республики Беларусь, не являющихся банками, в том числе Банка развития, кроме акций и векселей;</w:t>
      </w:r>
    </w:p>
    <w:p w:rsidR="00CB1F51" w:rsidRPr="00E107FC" w:rsidRDefault="00CB1F51">
      <w:pPr>
        <w:widowControl w:val="0"/>
        <w:autoSpaceDE w:val="0"/>
        <w:autoSpaceDN w:val="0"/>
        <w:adjustRightInd w:val="0"/>
        <w:jc w:val="both"/>
      </w:pPr>
      <w:r w:rsidRPr="00E107FC">
        <w:t>(в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20 процентов - в недвижимое имущество, кроме жилых помещений;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не более 15 процентов - в драгоценные металлы, за исключением их лома и отходов.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11. Максимальная суммарная стоимость ценных бумаг одного банка Республики Беларусь, одного местного исполнительного и распорядительного органа, одного юридического лица, за исключением Банка развития, не должна превышать по видам страхования, относящимся к страхованию жизни, 10 процентов от суммы страховых резервов, вложенных в ценные бумаги соответственно банков Республики Беларусь, местных исполнительных и распорядительных органов, юридических лиц, а по видам страхования иным, чем страхование жизни, - 15 процентов от суммы страховых резервов, вложенных в ценные бумаги соответственно банков Республики Беларусь, местных исполнительных и распорядительных органов, юридических лиц.</w:t>
      </w:r>
    </w:p>
    <w:p w:rsidR="00CB1F51" w:rsidRPr="00E107FC" w:rsidRDefault="00CB1F51" w:rsidP="00CB1F51">
      <w:pPr>
        <w:widowControl w:val="0"/>
        <w:autoSpaceDE w:val="0"/>
        <w:autoSpaceDN w:val="0"/>
        <w:adjustRightInd w:val="0"/>
        <w:jc w:val="both"/>
      </w:pPr>
      <w:r w:rsidRPr="00E107FC">
        <w:t>(п. 11 в ред. постановления Совмина от 29.08.2014 N 854)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  <w:r w:rsidRPr="00E107FC">
        <w:t>12. Максимальная стоимость одного объекта инвестиционной деятельности - недвижимого имущества (кроме жилых помещений) не должна превышать по видам страхования, относящимся к страхованию жизни, 10 процентов от суммы страховых резервов, а по видам страхования иным, чем страхование жизни, - 20 процентов от суммы страховых резервов.</w:t>
      </w:r>
    </w:p>
    <w:p w:rsidR="00CB1F51" w:rsidRPr="00E107FC" w:rsidRDefault="00CB1F51">
      <w:pPr>
        <w:widowControl w:val="0"/>
        <w:autoSpaceDE w:val="0"/>
        <w:autoSpaceDN w:val="0"/>
        <w:adjustRightInd w:val="0"/>
        <w:ind w:firstLine="540"/>
        <w:jc w:val="both"/>
      </w:pPr>
    </w:p>
    <w:p w:rsidR="00530769" w:rsidRPr="00E107FC" w:rsidRDefault="00530769"/>
    <w:sectPr w:rsidR="00530769" w:rsidRPr="00E107FC" w:rsidSect="00CB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1F51"/>
    <w:rsid w:val="0000471A"/>
    <w:rsid w:val="000076ED"/>
    <w:rsid w:val="000226B1"/>
    <w:rsid w:val="00030CB9"/>
    <w:rsid w:val="0004201F"/>
    <w:rsid w:val="00050A2A"/>
    <w:rsid w:val="00054D5D"/>
    <w:rsid w:val="0006613B"/>
    <w:rsid w:val="0007495D"/>
    <w:rsid w:val="00082B18"/>
    <w:rsid w:val="000867D2"/>
    <w:rsid w:val="00091E16"/>
    <w:rsid w:val="000A1EA4"/>
    <w:rsid w:val="000A39EC"/>
    <w:rsid w:val="000B2F1F"/>
    <w:rsid w:val="000B3C83"/>
    <w:rsid w:val="000D4AD6"/>
    <w:rsid w:val="000D5919"/>
    <w:rsid w:val="000D7887"/>
    <w:rsid w:val="00101061"/>
    <w:rsid w:val="001058EA"/>
    <w:rsid w:val="001068AE"/>
    <w:rsid w:val="0011398A"/>
    <w:rsid w:val="0011581D"/>
    <w:rsid w:val="00134752"/>
    <w:rsid w:val="00137021"/>
    <w:rsid w:val="001406AF"/>
    <w:rsid w:val="00153040"/>
    <w:rsid w:val="00175BB4"/>
    <w:rsid w:val="00185D8B"/>
    <w:rsid w:val="00185FA4"/>
    <w:rsid w:val="001912DA"/>
    <w:rsid w:val="001936F4"/>
    <w:rsid w:val="00194990"/>
    <w:rsid w:val="00194D2F"/>
    <w:rsid w:val="001A3C26"/>
    <w:rsid w:val="001A4A8E"/>
    <w:rsid w:val="001A7363"/>
    <w:rsid w:val="001B1A72"/>
    <w:rsid w:val="001B7512"/>
    <w:rsid w:val="001C5404"/>
    <w:rsid w:val="001C6E14"/>
    <w:rsid w:val="001E662F"/>
    <w:rsid w:val="001F075F"/>
    <w:rsid w:val="001F12A3"/>
    <w:rsid w:val="001F1EA0"/>
    <w:rsid w:val="001F1F03"/>
    <w:rsid w:val="00204EAC"/>
    <w:rsid w:val="002119A4"/>
    <w:rsid w:val="002173CF"/>
    <w:rsid w:val="00221F17"/>
    <w:rsid w:val="0022201F"/>
    <w:rsid w:val="00222961"/>
    <w:rsid w:val="00231639"/>
    <w:rsid w:val="00236752"/>
    <w:rsid w:val="00246BF8"/>
    <w:rsid w:val="00247786"/>
    <w:rsid w:val="00253ED0"/>
    <w:rsid w:val="00264349"/>
    <w:rsid w:val="00266E0C"/>
    <w:rsid w:val="00267A1A"/>
    <w:rsid w:val="00277C2A"/>
    <w:rsid w:val="00282FE0"/>
    <w:rsid w:val="00290300"/>
    <w:rsid w:val="00297779"/>
    <w:rsid w:val="002A217C"/>
    <w:rsid w:val="002A54EB"/>
    <w:rsid w:val="002B49ED"/>
    <w:rsid w:val="002C4416"/>
    <w:rsid w:val="002C57CD"/>
    <w:rsid w:val="002D32F2"/>
    <w:rsid w:val="002D62C3"/>
    <w:rsid w:val="002D6EBD"/>
    <w:rsid w:val="002E2A87"/>
    <w:rsid w:val="002E3A40"/>
    <w:rsid w:val="002E44B1"/>
    <w:rsid w:val="002F7B2C"/>
    <w:rsid w:val="00301D92"/>
    <w:rsid w:val="003024CA"/>
    <w:rsid w:val="00304419"/>
    <w:rsid w:val="003120AB"/>
    <w:rsid w:val="0031417A"/>
    <w:rsid w:val="003169B3"/>
    <w:rsid w:val="00316D78"/>
    <w:rsid w:val="003219A2"/>
    <w:rsid w:val="00323D0B"/>
    <w:rsid w:val="003321EA"/>
    <w:rsid w:val="00344ADA"/>
    <w:rsid w:val="00347B30"/>
    <w:rsid w:val="00350313"/>
    <w:rsid w:val="00354DDC"/>
    <w:rsid w:val="00356108"/>
    <w:rsid w:val="00361A83"/>
    <w:rsid w:val="00363583"/>
    <w:rsid w:val="00366CB7"/>
    <w:rsid w:val="00374DFA"/>
    <w:rsid w:val="00380A01"/>
    <w:rsid w:val="00380A64"/>
    <w:rsid w:val="0039185D"/>
    <w:rsid w:val="00391EDB"/>
    <w:rsid w:val="003959A9"/>
    <w:rsid w:val="003A318C"/>
    <w:rsid w:val="003A42B7"/>
    <w:rsid w:val="003B2771"/>
    <w:rsid w:val="003B525F"/>
    <w:rsid w:val="003D3521"/>
    <w:rsid w:val="003D726E"/>
    <w:rsid w:val="003E64E0"/>
    <w:rsid w:val="003E7DDB"/>
    <w:rsid w:val="003F0F4C"/>
    <w:rsid w:val="003F2C24"/>
    <w:rsid w:val="004007A7"/>
    <w:rsid w:val="00421BB2"/>
    <w:rsid w:val="00433123"/>
    <w:rsid w:val="0044460A"/>
    <w:rsid w:val="00446D4E"/>
    <w:rsid w:val="00455F40"/>
    <w:rsid w:val="004566E3"/>
    <w:rsid w:val="0047009D"/>
    <w:rsid w:val="004715F1"/>
    <w:rsid w:val="004A1565"/>
    <w:rsid w:val="004A5B5C"/>
    <w:rsid w:val="004B46BC"/>
    <w:rsid w:val="004C2254"/>
    <w:rsid w:val="004C2315"/>
    <w:rsid w:val="004C5287"/>
    <w:rsid w:val="004D1391"/>
    <w:rsid w:val="004D7BD4"/>
    <w:rsid w:val="004E206D"/>
    <w:rsid w:val="004E75CC"/>
    <w:rsid w:val="004F68AC"/>
    <w:rsid w:val="00501577"/>
    <w:rsid w:val="00502BBA"/>
    <w:rsid w:val="005152B2"/>
    <w:rsid w:val="00530769"/>
    <w:rsid w:val="00534D97"/>
    <w:rsid w:val="005411AF"/>
    <w:rsid w:val="00562315"/>
    <w:rsid w:val="005628B4"/>
    <w:rsid w:val="005851EC"/>
    <w:rsid w:val="005933F1"/>
    <w:rsid w:val="00594D70"/>
    <w:rsid w:val="005966DF"/>
    <w:rsid w:val="005974A6"/>
    <w:rsid w:val="005A20F3"/>
    <w:rsid w:val="005A61D1"/>
    <w:rsid w:val="005A6DC4"/>
    <w:rsid w:val="005A7B7B"/>
    <w:rsid w:val="005B271F"/>
    <w:rsid w:val="005B43D3"/>
    <w:rsid w:val="005B620F"/>
    <w:rsid w:val="005B6270"/>
    <w:rsid w:val="005C639D"/>
    <w:rsid w:val="005E43BB"/>
    <w:rsid w:val="005E502A"/>
    <w:rsid w:val="005F2A37"/>
    <w:rsid w:val="005F3FBC"/>
    <w:rsid w:val="005F3FD3"/>
    <w:rsid w:val="005F5133"/>
    <w:rsid w:val="005F7C3C"/>
    <w:rsid w:val="006004FA"/>
    <w:rsid w:val="006036B0"/>
    <w:rsid w:val="00604640"/>
    <w:rsid w:val="00607982"/>
    <w:rsid w:val="00612699"/>
    <w:rsid w:val="00620098"/>
    <w:rsid w:val="0062125C"/>
    <w:rsid w:val="00623143"/>
    <w:rsid w:val="00627ED7"/>
    <w:rsid w:val="00632CA5"/>
    <w:rsid w:val="00637791"/>
    <w:rsid w:val="00637F24"/>
    <w:rsid w:val="00656FFB"/>
    <w:rsid w:val="0066528C"/>
    <w:rsid w:val="00673344"/>
    <w:rsid w:val="00677FCC"/>
    <w:rsid w:val="00683B70"/>
    <w:rsid w:val="00691C73"/>
    <w:rsid w:val="006B7D65"/>
    <w:rsid w:val="006C1A18"/>
    <w:rsid w:val="006C2315"/>
    <w:rsid w:val="006D083F"/>
    <w:rsid w:val="006D136C"/>
    <w:rsid w:val="006D552A"/>
    <w:rsid w:val="006E0C37"/>
    <w:rsid w:val="006E2047"/>
    <w:rsid w:val="006E6F21"/>
    <w:rsid w:val="006F1F3A"/>
    <w:rsid w:val="006F1F46"/>
    <w:rsid w:val="006F54A7"/>
    <w:rsid w:val="00700A66"/>
    <w:rsid w:val="007031C7"/>
    <w:rsid w:val="00706123"/>
    <w:rsid w:val="007152B3"/>
    <w:rsid w:val="00715E76"/>
    <w:rsid w:val="00716BA8"/>
    <w:rsid w:val="00717252"/>
    <w:rsid w:val="0072425C"/>
    <w:rsid w:val="0072659E"/>
    <w:rsid w:val="007355F9"/>
    <w:rsid w:val="0073652E"/>
    <w:rsid w:val="0074147F"/>
    <w:rsid w:val="00743DCB"/>
    <w:rsid w:val="007442BB"/>
    <w:rsid w:val="0074755E"/>
    <w:rsid w:val="007505F3"/>
    <w:rsid w:val="007607CF"/>
    <w:rsid w:val="00763E05"/>
    <w:rsid w:val="00764017"/>
    <w:rsid w:val="00765DC3"/>
    <w:rsid w:val="00774813"/>
    <w:rsid w:val="007864DD"/>
    <w:rsid w:val="00797609"/>
    <w:rsid w:val="00797F82"/>
    <w:rsid w:val="007B1C07"/>
    <w:rsid w:val="007C6650"/>
    <w:rsid w:val="007C69E4"/>
    <w:rsid w:val="007D29BD"/>
    <w:rsid w:val="007D54C7"/>
    <w:rsid w:val="007E0875"/>
    <w:rsid w:val="007F0E4B"/>
    <w:rsid w:val="0080019E"/>
    <w:rsid w:val="0080314D"/>
    <w:rsid w:val="00812809"/>
    <w:rsid w:val="00820E4D"/>
    <w:rsid w:val="00824EAC"/>
    <w:rsid w:val="00830168"/>
    <w:rsid w:val="00852F7D"/>
    <w:rsid w:val="00865285"/>
    <w:rsid w:val="00866004"/>
    <w:rsid w:val="00870657"/>
    <w:rsid w:val="008711EC"/>
    <w:rsid w:val="00872CB5"/>
    <w:rsid w:val="008738B2"/>
    <w:rsid w:val="0087740B"/>
    <w:rsid w:val="00890FFC"/>
    <w:rsid w:val="008A1D18"/>
    <w:rsid w:val="008A3258"/>
    <w:rsid w:val="008A3504"/>
    <w:rsid w:val="008A56D4"/>
    <w:rsid w:val="008C0F45"/>
    <w:rsid w:val="008C6A62"/>
    <w:rsid w:val="008E0020"/>
    <w:rsid w:val="008E2EB7"/>
    <w:rsid w:val="008E7961"/>
    <w:rsid w:val="008F0AAB"/>
    <w:rsid w:val="008F75DD"/>
    <w:rsid w:val="00904137"/>
    <w:rsid w:val="00907664"/>
    <w:rsid w:val="00916AE9"/>
    <w:rsid w:val="00924E40"/>
    <w:rsid w:val="00933385"/>
    <w:rsid w:val="0093567D"/>
    <w:rsid w:val="0094297E"/>
    <w:rsid w:val="0095247E"/>
    <w:rsid w:val="00955726"/>
    <w:rsid w:val="009778C0"/>
    <w:rsid w:val="00987449"/>
    <w:rsid w:val="00992E4F"/>
    <w:rsid w:val="0099388C"/>
    <w:rsid w:val="009939EE"/>
    <w:rsid w:val="00997919"/>
    <w:rsid w:val="009B5354"/>
    <w:rsid w:val="009C109C"/>
    <w:rsid w:val="009C10F8"/>
    <w:rsid w:val="009C3A23"/>
    <w:rsid w:val="009D4F0A"/>
    <w:rsid w:val="009F02C7"/>
    <w:rsid w:val="009F265D"/>
    <w:rsid w:val="009F2760"/>
    <w:rsid w:val="009F69A0"/>
    <w:rsid w:val="00A00C0B"/>
    <w:rsid w:val="00A1268F"/>
    <w:rsid w:val="00A13A98"/>
    <w:rsid w:val="00A24794"/>
    <w:rsid w:val="00A27D45"/>
    <w:rsid w:val="00A343EB"/>
    <w:rsid w:val="00A367EE"/>
    <w:rsid w:val="00A40293"/>
    <w:rsid w:val="00A469F2"/>
    <w:rsid w:val="00A53419"/>
    <w:rsid w:val="00A92E09"/>
    <w:rsid w:val="00A96CB8"/>
    <w:rsid w:val="00AC05B5"/>
    <w:rsid w:val="00AC13D0"/>
    <w:rsid w:val="00AD0703"/>
    <w:rsid w:val="00AE309A"/>
    <w:rsid w:val="00AE7DB7"/>
    <w:rsid w:val="00B031D8"/>
    <w:rsid w:val="00B13859"/>
    <w:rsid w:val="00B2248B"/>
    <w:rsid w:val="00B279B6"/>
    <w:rsid w:val="00B400BA"/>
    <w:rsid w:val="00B44ED6"/>
    <w:rsid w:val="00B516F5"/>
    <w:rsid w:val="00B60ABC"/>
    <w:rsid w:val="00B76281"/>
    <w:rsid w:val="00B76D29"/>
    <w:rsid w:val="00B87397"/>
    <w:rsid w:val="00BA3735"/>
    <w:rsid w:val="00BA7511"/>
    <w:rsid w:val="00BB2710"/>
    <w:rsid w:val="00BB285E"/>
    <w:rsid w:val="00BC7713"/>
    <w:rsid w:val="00BD16EA"/>
    <w:rsid w:val="00BD2426"/>
    <w:rsid w:val="00BE57AD"/>
    <w:rsid w:val="00BF7B6E"/>
    <w:rsid w:val="00C057A1"/>
    <w:rsid w:val="00C10C1F"/>
    <w:rsid w:val="00C2404E"/>
    <w:rsid w:val="00C26ACE"/>
    <w:rsid w:val="00C43004"/>
    <w:rsid w:val="00C506FE"/>
    <w:rsid w:val="00C510F5"/>
    <w:rsid w:val="00C535C2"/>
    <w:rsid w:val="00C55AF1"/>
    <w:rsid w:val="00C55DC5"/>
    <w:rsid w:val="00C56450"/>
    <w:rsid w:val="00C568F4"/>
    <w:rsid w:val="00C57516"/>
    <w:rsid w:val="00C64817"/>
    <w:rsid w:val="00C74463"/>
    <w:rsid w:val="00C77541"/>
    <w:rsid w:val="00C923B3"/>
    <w:rsid w:val="00CA1A49"/>
    <w:rsid w:val="00CA2051"/>
    <w:rsid w:val="00CA2BE1"/>
    <w:rsid w:val="00CB1F51"/>
    <w:rsid w:val="00CB5340"/>
    <w:rsid w:val="00CC1956"/>
    <w:rsid w:val="00CC3FB4"/>
    <w:rsid w:val="00CE05B4"/>
    <w:rsid w:val="00CE7A6C"/>
    <w:rsid w:val="00CF3BAF"/>
    <w:rsid w:val="00CF46E9"/>
    <w:rsid w:val="00CF64C5"/>
    <w:rsid w:val="00D025A3"/>
    <w:rsid w:val="00D10570"/>
    <w:rsid w:val="00D11933"/>
    <w:rsid w:val="00D12296"/>
    <w:rsid w:val="00D16582"/>
    <w:rsid w:val="00D21CC1"/>
    <w:rsid w:val="00D2586D"/>
    <w:rsid w:val="00D27BEA"/>
    <w:rsid w:val="00D30522"/>
    <w:rsid w:val="00D316CE"/>
    <w:rsid w:val="00D33040"/>
    <w:rsid w:val="00D332D0"/>
    <w:rsid w:val="00D630F3"/>
    <w:rsid w:val="00D63AD2"/>
    <w:rsid w:val="00D70AAC"/>
    <w:rsid w:val="00D75BE3"/>
    <w:rsid w:val="00D82C8F"/>
    <w:rsid w:val="00D83251"/>
    <w:rsid w:val="00D84DC9"/>
    <w:rsid w:val="00D94A20"/>
    <w:rsid w:val="00DA47BB"/>
    <w:rsid w:val="00DA6D52"/>
    <w:rsid w:val="00DA7DDB"/>
    <w:rsid w:val="00DD0F63"/>
    <w:rsid w:val="00DE0B36"/>
    <w:rsid w:val="00DF4A77"/>
    <w:rsid w:val="00DF4D5C"/>
    <w:rsid w:val="00E05B14"/>
    <w:rsid w:val="00E107FC"/>
    <w:rsid w:val="00E1155F"/>
    <w:rsid w:val="00E20A59"/>
    <w:rsid w:val="00E2652B"/>
    <w:rsid w:val="00E528FC"/>
    <w:rsid w:val="00E63776"/>
    <w:rsid w:val="00E74178"/>
    <w:rsid w:val="00E75615"/>
    <w:rsid w:val="00E77867"/>
    <w:rsid w:val="00E93158"/>
    <w:rsid w:val="00EA1D4D"/>
    <w:rsid w:val="00EA517C"/>
    <w:rsid w:val="00EB2EC9"/>
    <w:rsid w:val="00EB31A1"/>
    <w:rsid w:val="00EB430D"/>
    <w:rsid w:val="00EC57F6"/>
    <w:rsid w:val="00ED2E88"/>
    <w:rsid w:val="00ED2F75"/>
    <w:rsid w:val="00ED3DBF"/>
    <w:rsid w:val="00ED5ADA"/>
    <w:rsid w:val="00ED5EC9"/>
    <w:rsid w:val="00EE1867"/>
    <w:rsid w:val="00EF3D2D"/>
    <w:rsid w:val="00F016DD"/>
    <w:rsid w:val="00F05458"/>
    <w:rsid w:val="00F073B8"/>
    <w:rsid w:val="00F125C1"/>
    <w:rsid w:val="00F13788"/>
    <w:rsid w:val="00F364C3"/>
    <w:rsid w:val="00F53D10"/>
    <w:rsid w:val="00F54239"/>
    <w:rsid w:val="00F551F7"/>
    <w:rsid w:val="00F55E51"/>
    <w:rsid w:val="00F57C34"/>
    <w:rsid w:val="00F61CA9"/>
    <w:rsid w:val="00F714BC"/>
    <w:rsid w:val="00F852E8"/>
    <w:rsid w:val="00F8725D"/>
    <w:rsid w:val="00F9051A"/>
    <w:rsid w:val="00FA3B8B"/>
    <w:rsid w:val="00FC1C18"/>
    <w:rsid w:val="00FC33AC"/>
    <w:rsid w:val="00FD6BC6"/>
    <w:rsid w:val="00FE408E"/>
    <w:rsid w:val="00FE4381"/>
    <w:rsid w:val="00FE781B"/>
    <w:rsid w:val="00FF500D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14BD3B72A5C16965AFB8623636D2B4A34BDE90A3FD3ECCAA42FF1095AADA1C31D8D888C6D99351F92F6CA9E34D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УТВЕРЖДЕНО</vt:lpstr>
    </vt:vector>
  </TitlesOfParts>
  <Company>Microsoft</Company>
  <LinksUpToDate>false</LinksUpToDate>
  <CharactersWithSpaces>11466</CharactersWithSpaces>
  <SharedDoc>false</SharedDoc>
  <HLinks>
    <vt:vector size="168" baseType="variant">
      <vt:variant>
        <vt:i4>1769475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consultantplus://offline/ref=8A14BD3B72A5C16965AFB8623636D2B4A34BDE90A3FD3ECCAA42FF1095AADA1C31D8D888C6D99351F92F6CA9E44Di6J</vt:lpwstr>
      </vt:variant>
      <vt:variant>
        <vt:lpwstr/>
      </vt:variant>
      <vt:variant>
        <vt:i4>1769478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consultantplus://offline/ref=8A14BD3B72A5C16965AFB8623636D2B4A34BDE90A3FD3ECCAA42FF1095AADA1C31D8D888C6D99351F92F6CA9E44Di3J</vt:lpwstr>
      </vt:variant>
      <vt:variant>
        <vt:lpwstr/>
      </vt:variant>
      <vt:variant>
        <vt:i4>1769478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consultantplus://offline/ref=8A14BD3B72A5C16965AFB8623636D2B4A34BDE90A3FD3ECCAA42FF1095AADA1C31D8D888C6D99351F92F6CA9E44Di3J</vt:lpwstr>
      </vt:variant>
      <vt:variant>
        <vt:lpwstr/>
      </vt:variant>
      <vt:variant>
        <vt:i4>1769485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consultantplus://offline/ref=8A14BD3B72A5C16965AFB8623636D2B4A34BDE90A3FD3ECCAA42FF1095AADA1C31D8D888C6D99351F92F6CA9E54Di9J</vt:lpwstr>
      </vt:variant>
      <vt:variant>
        <vt:lpwstr/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1769473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consultantplus://offline/ref=8A14BD3B72A5C16965AFB8623636D2B4A34BDE90A3FD3ECCAA42FF1095AADA1C31D8D888C6D99351F92F6CA9E54Di5J</vt:lpwstr>
      </vt:variant>
      <vt:variant>
        <vt:lpwstr/>
      </vt:variant>
      <vt:variant>
        <vt:i4>1769472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consultantplus://offline/ref=8A14BD3B72A5C16965AFB8623636D2B4A34BDE90A3FD3ECCAA42FF1095AADA1C31D8D888C6D99351F92F6CA9E54Di4J</vt:lpwstr>
      </vt:variant>
      <vt:variant>
        <vt:lpwstr/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1769472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consultantplus://offline/ref=8A14BD3B72A5C16965AFB8623636D2B4A34BDE90A3FD3ECCAA42FF1095AADA1C31D8D888C6D99351F92F6CA9E54Di4J</vt:lpwstr>
      </vt:variant>
      <vt:variant>
        <vt:lpwstr/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consultantplus://offline/ref=8A14BD3B72A5C16965AFB8623636D2B4A34BDE90A3FD3ECCAA42FF1095AADA1C31D8D888C6D99351F92F6CA9E54Di4J</vt:lpwstr>
      </vt:variant>
      <vt:variant>
        <vt:lpwstr/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1769477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consultantplus://offline/ref=8A14BD3B72A5C16965AFB8623636D2B4A34BDE90A3FD3ECCAA42FF1095AADA1C31D8D888C6D99351F92F6CA9E54Di1J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1769482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consultantplus://offline/ref=8A14BD3B72A5C16965AFB8623636D2B4A34BDE90A3FD3ECCAA42FF1095AADA1C31D8D888C6D99351F92F6CA9E24Di9J</vt:lpwstr>
      </vt:variant>
      <vt:variant>
        <vt:lpwstr/>
      </vt:variant>
      <vt:variant>
        <vt:i4>1769477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consultantplus://offline/ref=8A14BD3B72A5C16965AFB8623636D2B4A34BDE90A3FD3ECCAA42FF1095AADA1C31D8D888C6D99351F92F6CA9E24Di6J</vt:lpwstr>
      </vt:variant>
      <vt:variant>
        <vt:lpwstr/>
      </vt:variant>
      <vt:variant>
        <vt:i4>1769472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consultantplus://offline/ref=8A14BD3B72A5C16965AFB8623636D2B4A34BDE90A3FD3ECCAA42FF1095AADA1C31D8D888C6D99351F92F6CA9E24Di3J</vt:lpwstr>
      </vt:variant>
      <vt:variant>
        <vt:lpwstr/>
      </vt:variant>
      <vt:variant>
        <vt:i4>1769477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consultantplus://offline/ref=8A14BD3B72A5C16965AFB8623636D2B4A34BDE90A3FD3ECCAA42FF1095AADA1C31D8D888C6D99351F92F6CA9E34Di7J</vt:lpwstr>
      </vt:variant>
      <vt:variant>
        <vt:lpwstr/>
      </vt:variant>
      <vt:variant>
        <vt:i4>1769479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consultantplus://offline/ref=8A14BD3B72A5C16965AFB8623636D2B4A34BDE90A3FD3ECCAA42FF1095AADA1C31D8D888C6D99351F92F6CA9E34Di5J</vt:lpwstr>
      </vt:variant>
      <vt:variant>
        <vt:lpwstr/>
      </vt:variant>
      <vt:variant>
        <vt:i4>1769475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consultantplus://offline/ref=8A14BD3B72A5C16965AFB8623636D2B4A34BDE90A3FD3ECCAA42FF1095AADA1C31D8D888C6D99351F92F6CA9E34Di1J</vt:lpwstr>
      </vt:variant>
      <vt:variant>
        <vt:lpwstr/>
      </vt:variant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consultantplus://offline/ref=8A14BD3B72A5C16965AFB8623636D2B4A34BDE90A3FD3ECCAA42FF1095AADA1C31D8D888C6D99351F92F6CA9E04Di8J</vt:lpwstr>
      </vt:variant>
      <vt:variant>
        <vt:lpwstr/>
      </vt:variant>
      <vt:variant>
        <vt:i4>1769478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consultantplus://offline/ref=8A14BD3B72A5C16965AFB8623636D2B4A34BDE90A3FD3ECCAA42FF1095AADA1C31D8D888C6D99351F92F6CA9E04Di7J</vt:lpwstr>
      </vt:variant>
      <vt:variant>
        <vt:lpwstr/>
      </vt:variant>
      <vt:variant>
        <vt:i4>1769477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consultantplus://offline/ref=8A14BD3B72A5C16965AFB8623636D2B4A34BDE90A3FD3ECCAA42FF1095AADA1C31D8D888C6D99351F92F6CA9E04Di4J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consultantplus://offline/ref=8A14BD3B72A5C16965AFB8623636D2B4A34BDE90A3FD3FCEAA43FB1095AADA1C31D8D888C6D99351F92F6CA8E34Di6J</vt:lpwstr>
      </vt:variant>
      <vt:variant>
        <vt:lpwstr/>
      </vt:variant>
      <vt:variant>
        <vt:i4>1769475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consultantplus://offline/ref=8A14BD3B72A5C16965AFB8623636D2B4A34BDE90A3FD3ECCAA42FF1095AADA1C31D8D888C6D99351F92F6CA9E04Di2J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consultantplus://offline/ref=8A14BD3B72A5C16965AFB8623636D2B4A34BDE90A3FD3EC8A543FF1095AADA1C31D8D888C6D99351F92F6EA8E04Di3J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consultantplus://offline/ref=8A14BD3B72A5C16965AFB8623636D2B4A34BDE90A3FD3ECCAA42FF1095AADA1C31D8D888C6D99351F92F6CA9E04Di0J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consultantplus://offline/ref=8A14BD3B72A5C16965AFB8623636D2B4A34BDE90A3FD3FC2A54AFB1095AADA1C31D8D888C6D99351F92F6CA9E14Di8J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УТВЕРЖДЕНО</dc:title>
  <dc:subject/>
  <dc:creator>Alexandr.Kornelyuk</dc:creator>
  <cp:keywords/>
  <dc:description/>
  <cp:lastModifiedBy>Оксана Булаева</cp:lastModifiedBy>
  <cp:revision>3</cp:revision>
  <dcterms:created xsi:type="dcterms:W3CDTF">2018-11-26T06:09:00Z</dcterms:created>
  <dcterms:modified xsi:type="dcterms:W3CDTF">2018-11-26T06:10:00Z</dcterms:modified>
</cp:coreProperties>
</file>